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B2D6FF">
      <w:pPr>
        <w:rPr>
          <w:rFonts w:hint="eastAsia" w:ascii="黑体" w:hAnsi="黑体" w:eastAsia="黑体" w:cs="黑体"/>
          <w:bCs/>
          <w:color w:val="000000"/>
          <w:szCs w:val="32"/>
        </w:rPr>
      </w:pPr>
      <w:r>
        <w:rPr>
          <w:rFonts w:hint="eastAsia" w:ascii="黑体" w:hAnsi="黑体" w:eastAsia="黑体" w:cs="黑体"/>
          <w:bCs/>
          <w:color w:val="000000"/>
          <w:szCs w:val="32"/>
        </w:rPr>
        <w:t>附件4</w:t>
      </w:r>
    </w:p>
    <w:p w14:paraId="0081BF1F"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56"/>
          <w:szCs w:val="56"/>
        </w:rPr>
      </w:pPr>
      <w:r>
        <w:rPr>
          <w:rFonts w:hint="eastAsia" w:ascii="黑体" w:hAnsi="黑体" w:eastAsia="黑体" w:cs="黑体"/>
          <w:bCs/>
          <w:color w:val="000000"/>
          <w:sz w:val="44"/>
          <w:szCs w:val="44"/>
          <w:lang w:val="en-US" w:eastAsia="zh-CN"/>
        </w:rPr>
        <w:t>中国新闻奖参评作品推荐表</w:t>
      </w:r>
    </w:p>
    <w:tbl>
      <w:tblPr>
        <w:tblStyle w:val="10"/>
        <w:tblW w:w="9913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84"/>
        <w:gridCol w:w="1133"/>
        <w:gridCol w:w="347"/>
        <w:gridCol w:w="1497"/>
        <w:gridCol w:w="425"/>
        <w:gridCol w:w="567"/>
        <w:gridCol w:w="426"/>
        <w:gridCol w:w="826"/>
        <w:gridCol w:w="733"/>
        <w:gridCol w:w="992"/>
        <w:gridCol w:w="1549"/>
      </w:tblGrid>
      <w:tr w14:paraId="2309A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</w:trPr>
        <w:tc>
          <w:tcPr>
            <w:tcW w:w="1134" w:type="dxa"/>
            <w:vAlign w:val="center"/>
          </w:tcPr>
          <w:p w14:paraId="458F1295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</w:t>
            </w:r>
          </w:p>
          <w:p w14:paraId="557555F5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标题</w:t>
            </w:r>
          </w:p>
        </w:tc>
        <w:tc>
          <w:tcPr>
            <w:tcW w:w="4679" w:type="dxa"/>
            <w:gridSpan w:val="7"/>
            <w:vAlign w:val="center"/>
          </w:tcPr>
          <w:p w14:paraId="77DD7D13">
            <w:pPr>
              <w:spacing w:line="380" w:lineRule="exact"/>
              <w:jc w:val="left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拉1500元柴油被罚3万，农机自用柴油问题不能无解</w:t>
            </w:r>
          </w:p>
        </w:tc>
        <w:tc>
          <w:tcPr>
            <w:tcW w:w="826" w:type="dxa"/>
            <w:vAlign w:val="center"/>
          </w:tcPr>
          <w:p w14:paraId="1C616863"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</w:t>
            </w:r>
          </w:p>
          <w:p w14:paraId="1ADABD67"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项目</w:t>
            </w:r>
          </w:p>
        </w:tc>
        <w:tc>
          <w:tcPr>
            <w:tcW w:w="3274" w:type="dxa"/>
            <w:gridSpan w:val="3"/>
            <w:vAlign w:val="center"/>
          </w:tcPr>
          <w:p w14:paraId="37A38E97">
            <w:pPr>
              <w:rPr>
                <w:rFonts w:hint="eastAsia" w:ascii="仿宋_GB2312" w:eastAsia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8"/>
                <w:lang w:val="en-US" w:eastAsia="zh-CN"/>
              </w:rPr>
              <w:t>基础类</w:t>
            </w:r>
          </w:p>
        </w:tc>
      </w:tr>
      <w:tr w14:paraId="4033E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</w:trPr>
        <w:tc>
          <w:tcPr>
            <w:tcW w:w="1134" w:type="dxa"/>
            <w:vMerge w:val="restart"/>
            <w:vAlign w:val="center"/>
          </w:tcPr>
          <w:p w14:paraId="48D56435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字数</w:t>
            </w:r>
          </w:p>
          <w:p w14:paraId="4B9FEE5A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时长</w:t>
            </w:r>
          </w:p>
        </w:tc>
        <w:tc>
          <w:tcPr>
            <w:tcW w:w="4679" w:type="dxa"/>
            <w:gridSpan w:val="7"/>
            <w:vMerge w:val="restart"/>
            <w:vAlign w:val="center"/>
          </w:tcPr>
          <w:p w14:paraId="559FBC74">
            <w:pPr>
              <w:spacing w:line="240" w:lineRule="exact"/>
              <w:jc w:val="left"/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2分35秒</w:t>
            </w:r>
          </w:p>
        </w:tc>
        <w:tc>
          <w:tcPr>
            <w:tcW w:w="826" w:type="dxa"/>
            <w:vAlign w:val="center"/>
          </w:tcPr>
          <w:p w14:paraId="2C1298F4"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74" w:type="dxa"/>
            <w:gridSpan w:val="3"/>
            <w:vAlign w:val="center"/>
          </w:tcPr>
          <w:p w14:paraId="53805513">
            <w:pPr>
              <w:spacing w:line="260" w:lineRule="exact"/>
              <w:rPr>
                <w:rFonts w:hint="eastAsia" w:ascii="仿宋_GB2312" w:hAnsi="仿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评论</w:t>
            </w:r>
          </w:p>
        </w:tc>
      </w:tr>
      <w:tr w14:paraId="7F7AC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134" w:type="dxa"/>
            <w:vMerge w:val="continue"/>
            <w:tcBorders>
              <w:bottom w:val="single" w:color="auto" w:sz="4" w:space="0"/>
            </w:tcBorders>
            <w:vAlign w:val="center"/>
          </w:tcPr>
          <w:p w14:paraId="156CEFE8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4679" w:type="dxa"/>
            <w:gridSpan w:val="7"/>
            <w:vMerge w:val="continue"/>
            <w:tcBorders>
              <w:bottom w:val="single" w:color="auto" w:sz="4" w:space="0"/>
            </w:tcBorders>
            <w:vAlign w:val="center"/>
          </w:tcPr>
          <w:p w14:paraId="6E0931B2">
            <w:pPr>
              <w:spacing w:line="380" w:lineRule="exact"/>
              <w:ind w:firstLine="560"/>
              <w:jc w:val="center"/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</w:pP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 w14:paraId="3EADC20D"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 w14:paraId="0E444AFC">
            <w:pPr>
              <w:spacing w:line="260" w:lineRule="exact"/>
              <w:rPr>
                <w:rFonts w:hint="eastAsia" w:ascii="仿宋" w:hAnsi="仿宋" w:eastAsia="仿宋" w:cs="仿宋"/>
                <w:color w:val="000000"/>
                <w:sz w:val="22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</w:rPr>
              <w:t>中文</w:t>
            </w:r>
          </w:p>
        </w:tc>
      </w:tr>
      <w:tr w14:paraId="06A6E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4B5ED185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作者</w:t>
            </w:r>
          </w:p>
          <w:p w14:paraId="09BD330D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16"/>
                <w:szCs w:val="16"/>
              </w:rPr>
              <w:t>（主创人员）</w:t>
            </w:r>
          </w:p>
        </w:tc>
        <w:tc>
          <w:tcPr>
            <w:tcW w:w="4679" w:type="dxa"/>
            <w:gridSpan w:val="7"/>
            <w:tcBorders>
              <w:bottom w:val="single" w:color="auto" w:sz="4" w:space="0"/>
            </w:tcBorders>
            <w:vAlign w:val="center"/>
          </w:tcPr>
          <w:p w14:paraId="596C6F01">
            <w:pPr>
              <w:spacing w:line="240" w:lineRule="exact"/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</w:pPr>
            <w:bookmarkStart w:id="0" w:name="OLE_LINK1"/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 xml:space="preserve">集体（宁启文 刘爱芳 钟倩 黄莉 常瑞民 </w:t>
            </w:r>
            <w:bookmarkStart w:id="1" w:name="OLE_LINK3"/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秦鹏</w:t>
            </w:r>
            <w:bookmarkEnd w:id="1"/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 xml:space="preserve"> 贺臣）</w:t>
            </w:r>
            <w:bookmarkEnd w:id="0"/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 w14:paraId="47E10042"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 w14:paraId="21AC1F14">
            <w:pPr>
              <w:spacing w:line="240" w:lineRule="exact"/>
              <w:rPr>
                <w:rFonts w:hint="eastAsia" w:ascii="仿宋" w:hAnsi="仿宋" w:eastAsia="仿宋" w:cs="仿宋"/>
                <w:color w:val="000000"/>
                <w:sz w:val="22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秦鹏</w:t>
            </w:r>
          </w:p>
        </w:tc>
      </w:tr>
      <w:tr w14:paraId="6D661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34" w:type="dxa"/>
            <w:vAlign w:val="center"/>
          </w:tcPr>
          <w:p w14:paraId="0A833153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</w:t>
            </w:r>
          </w:p>
          <w:p w14:paraId="4BCFD2C0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单位</w:t>
            </w:r>
          </w:p>
        </w:tc>
        <w:tc>
          <w:tcPr>
            <w:tcW w:w="3686" w:type="dxa"/>
            <w:gridSpan w:val="5"/>
            <w:vAlign w:val="center"/>
          </w:tcPr>
          <w:p w14:paraId="688265BA">
            <w:pPr>
              <w:spacing w:line="260" w:lineRule="exact"/>
              <w:jc w:val="left"/>
              <w:rPr>
                <w:rFonts w:hint="eastAsia" w:ascii="仿宋_GB2312" w:hAnsi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中国农业电影电视中心</w:t>
            </w:r>
          </w:p>
        </w:tc>
        <w:tc>
          <w:tcPr>
            <w:tcW w:w="1819" w:type="dxa"/>
            <w:gridSpan w:val="3"/>
            <w:vAlign w:val="center"/>
          </w:tcPr>
          <w:p w14:paraId="06CA4AF6">
            <w:pPr>
              <w:spacing w:line="260" w:lineRule="exact"/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发布端/账号/</w:t>
            </w:r>
          </w:p>
          <w:p w14:paraId="31AC22A4">
            <w:pPr>
              <w:spacing w:line="260" w:lineRule="exact"/>
              <w:rPr>
                <w:rFonts w:hint="eastAsia" w:ascii="仿宋_GB2312" w:hAnsi="仿宋"/>
                <w:color w:val="000000"/>
                <w:sz w:val="28"/>
                <w:szCs w:val="40"/>
                <w:highlight w:val="gree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媒体名称</w:t>
            </w:r>
          </w:p>
        </w:tc>
        <w:tc>
          <w:tcPr>
            <w:tcW w:w="3274" w:type="dxa"/>
            <w:gridSpan w:val="3"/>
            <w:vAlign w:val="center"/>
          </w:tcPr>
          <w:p w14:paraId="7D37B23A">
            <w:pPr>
              <w:spacing w:line="260" w:lineRule="exact"/>
              <w:rPr>
                <w:rFonts w:hint="eastAsia" w:ascii="仿宋_GB2312" w:hAnsi="仿宋"/>
                <w:color w:val="000000"/>
                <w:sz w:val="18"/>
                <w:szCs w:val="18"/>
                <w:highlight w:val="gree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快手</w:t>
            </w:r>
          </w:p>
        </w:tc>
      </w:tr>
      <w:tr w14:paraId="45FA6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exact"/>
        </w:trPr>
        <w:tc>
          <w:tcPr>
            <w:tcW w:w="1418" w:type="dxa"/>
            <w:gridSpan w:val="2"/>
            <w:vAlign w:val="center"/>
          </w:tcPr>
          <w:p w14:paraId="7DF9E058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</w:p>
          <w:p w14:paraId="1C46EA02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  <w:szCs w:val="21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2"/>
                <w:szCs w:val="21"/>
              </w:rPr>
              <w:t>名称和版次)</w:t>
            </w:r>
          </w:p>
        </w:tc>
        <w:tc>
          <w:tcPr>
            <w:tcW w:w="3402" w:type="dxa"/>
            <w:gridSpan w:val="4"/>
            <w:vAlign w:val="center"/>
          </w:tcPr>
          <w:p w14:paraId="2CEEA1F3">
            <w:pPr>
              <w:spacing w:line="260" w:lineRule="exact"/>
              <w:rPr>
                <w:rFonts w:hint="eastAsia" w:ascii="仿宋_GB2312" w:hAnsi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中国三农发布</w:t>
            </w:r>
          </w:p>
        </w:tc>
        <w:tc>
          <w:tcPr>
            <w:tcW w:w="993" w:type="dxa"/>
            <w:gridSpan w:val="2"/>
            <w:vAlign w:val="center"/>
          </w:tcPr>
          <w:p w14:paraId="2F5B849D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</w:t>
            </w:r>
          </w:p>
          <w:p w14:paraId="3C7EE4CC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日期</w:t>
            </w:r>
          </w:p>
        </w:tc>
        <w:tc>
          <w:tcPr>
            <w:tcW w:w="4100" w:type="dxa"/>
            <w:gridSpan w:val="4"/>
            <w:vAlign w:val="center"/>
          </w:tcPr>
          <w:p w14:paraId="2F9D74FD">
            <w:pPr>
              <w:spacing w:line="260" w:lineRule="exact"/>
              <w:rPr>
                <w:rFonts w:hint="eastAsia" w:ascii="仿宋_GB2312" w:hAnsi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2024年12月15日</w:t>
            </w:r>
          </w:p>
        </w:tc>
      </w:tr>
      <w:tr w14:paraId="1E917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9" w:hRule="atLeast"/>
        </w:trPr>
        <w:tc>
          <w:tcPr>
            <w:tcW w:w="1418" w:type="dxa"/>
            <w:gridSpan w:val="2"/>
            <w:vAlign w:val="center"/>
          </w:tcPr>
          <w:p w14:paraId="5DDB0206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新媒体作品</w:t>
            </w:r>
          </w:p>
          <w:p w14:paraId="409FF6C2">
            <w:pPr>
              <w:spacing w:line="320" w:lineRule="exact"/>
              <w:jc w:val="center"/>
              <w:rPr>
                <w:rFonts w:hint="eastAsia"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网址</w:t>
            </w:r>
          </w:p>
        </w:tc>
        <w:tc>
          <w:tcPr>
            <w:tcW w:w="5221" w:type="dxa"/>
            <w:gridSpan w:val="7"/>
            <w:vAlign w:val="center"/>
          </w:tcPr>
          <w:p w14:paraId="74C19883">
            <w:pPr>
              <w:rPr>
                <w:rFonts w:hint="eastAsia" w:ascii="华文中宋" w:hAnsi="华文中宋" w:eastAsia="华文中宋"/>
                <w:color w:val="000000"/>
                <w:sz w:val="28"/>
              </w:rPr>
            </w:pPr>
            <w:bookmarkStart w:id="2" w:name="OLE_LINK2"/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instrText xml:space="preserve"> HYPERLINK "https://v.kuaishou.com/oTghLw" </w:instrTex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https://v.kuaishou.com/oTghLw</w:t>
            </w:r>
            <w:bookmarkEnd w:id="2"/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fldChar w:fldCharType="end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 xml:space="preserve"> </w:t>
            </w:r>
            <w:r>
              <w:rPr>
                <w:rFonts w:hint="eastAsia" w:eastAsiaTheme="minorEastAsia"/>
              </w:rPr>
              <w:drawing>
                <wp:inline distT="0" distB="0" distL="114300" distR="114300">
                  <wp:extent cx="701040" cy="701040"/>
                  <wp:effectExtent l="0" t="0" r="0" b="0"/>
                  <wp:docPr id="1" name="图片 1" descr="拉1500元柴油被罚3万，农机自用柴油问题不能无解  二维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拉1500元柴油被罚3万，农机自用柴油问题不能无解  二维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040" cy="701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Theme="minorEastAsia"/>
              </w:rPr>
              <w:t xml:space="preserve">                        </w:t>
            </w:r>
          </w:p>
        </w:tc>
        <w:tc>
          <w:tcPr>
            <w:tcW w:w="1725" w:type="dxa"/>
            <w:gridSpan w:val="2"/>
            <w:vAlign w:val="center"/>
          </w:tcPr>
          <w:p w14:paraId="7081BB5B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是否为</w:t>
            </w:r>
          </w:p>
          <w:p w14:paraId="3E7A50AB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“三好作品”</w:t>
            </w:r>
          </w:p>
        </w:tc>
        <w:tc>
          <w:tcPr>
            <w:tcW w:w="1549" w:type="dxa"/>
            <w:vAlign w:val="center"/>
          </w:tcPr>
          <w:p w14:paraId="5C89267D">
            <w:pPr>
              <w:spacing w:line="260" w:lineRule="exact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</w:tr>
      <w:tr w14:paraId="6560B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9" w:hRule="atLeast"/>
        </w:trPr>
        <w:tc>
          <w:tcPr>
            <w:tcW w:w="1134" w:type="dxa"/>
            <w:vAlign w:val="center"/>
          </w:tcPr>
          <w:p w14:paraId="705FFB58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17277D22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 w14:paraId="2B28E6C6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 w14:paraId="7D64EF04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 w14:paraId="1A7847DA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 w14:paraId="70308CDE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79" w:type="dxa"/>
            <w:gridSpan w:val="11"/>
            <w:vAlign w:val="center"/>
          </w:tcPr>
          <w:p w14:paraId="46FE6EAE">
            <w:pPr>
              <w:ind w:firstLine="482" w:firstLineChars="200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1.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发现选题。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2024年12月13日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一则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安徽淮南寿县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农民开皮卡给农机加柴油被罚3万元的新闻在互联网上开始发酵，此事发生在一个月前的秋收关键期，一个月后被爆出，迅速获得很高关注度，评论员第一时间敏锐捕捉到新闻点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。</w:t>
            </w:r>
          </w:p>
          <w:p w14:paraId="31882F17">
            <w:pPr>
              <w:ind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2.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深入剖析。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评论员发现选题后，通过电话采访知情人、联络相关管理部门、咨询律师等多种方式广泛搜集信息，从中抽丝剥茧，分析甄别，掌握到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皮卡车所拉柴油的量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刚好可以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给一台收割机加一次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油这个关键信息，并以此为支撑点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指出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农机用油的现状及现实困境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。</w:t>
            </w:r>
          </w:p>
          <w:p w14:paraId="17E9D075">
            <w:pPr>
              <w:ind w:firstLine="480"/>
              <w:rPr>
                <w:rFonts w:hint="eastAsia"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3.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客观评论。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评论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注重客观、公正，并以平衡视角发出呼吁，在指出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用皮卡车拉柴油确实存在一定安全风险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的同时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也表明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全社会应该从不增加农业生产成本的角度，积极帮小农机手解决农机安全加油的问题。</w:t>
            </w:r>
          </w:p>
        </w:tc>
      </w:tr>
      <w:tr w14:paraId="61C14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5" w:hRule="atLeast"/>
        </w:trPr>
        <w:tc>
          <w:tcPr>
            <w:tcW w:w="1134" w:type="dxa"/>
            <w:vAlign w:val="center"/>
          </w:tcPr>
          <w:p w14:paraId="035F9058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 w14:paraId="6EE20E22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 w14:paraId="7903F170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 w14:paraId="2D2864A9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779" w:type="dxa"/>
            <w:gridSpan w:val="11"/>
            <w:vAlign w:val="center"/>
          </w:tcPr>
          <w:p w14:paraId="5B73212F">
            <w:pPr>
              <w:ind w:firstLine="482" w:firstLineChars="200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18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18"/>
              </w:rPr>
              <w:t>直击社会痛点，引发广泛共鸣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18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此作品直击农机用油困境这一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现实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痛点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通过深入剖析寿县机手被罚事件，揭示了农业生产中长期存在的加油难、成本高问题，引发社会各界广泛关注。快手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单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平台点赞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量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43万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播放量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超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580万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互动1.3万次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。</w:t>
            </w:r>
          </w:p>
          <w:p w14:paraId="6DFFF1ED">
            <w:pPr>
              <w:ind w:firstLine="482" w:firstLineChars="200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18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18"/>
              </w:rPr>
              <w:t>助力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18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18"/>
              </w:rPr>
              <w:t>三农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18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18"/>
              </w:rPr>
              <w:t>发展，推动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18"/>
                <w:lang w:val="en-US" w:eastAsia="zh-CN"/>
              </w:rPr>
              <w:t>问题解决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18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此事件发生在秋收关键期并引发大量关注，推动此事合理解决，有助</w:t>
            </w:r>
            <w:bookmarkStart w:id="3" w:name="_GoBack"/>
            <w:bookmarkEnd w:id="3"/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于保护农民生产积极性。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据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了解，事件当事人最终申请行政复议成功，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当地已退还罚款，这不仅解决个体困境，也为其他地区提供了政策调整的参考范例，推动农村服务体系完善。</w:t>
            </w:r>
          </w:p>
          <w:p w14:paraId="4D35382C">
            <w:pPr>
              <w:ind w:firstLine="482" w:firstLineChars="200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18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18"/>
              </w:rPr>
              <w:t>传播效果显著，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18"/>
                <w:lang w:val="en-US" w:eastAsia="zh-CN"/>
              </w:rPr>
              <w:t>彰显媒体力量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18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作品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的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高阅读量与互动量还引发了对执法尺度与民生需求平衡的深入探讨，推动社会对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三农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问题的持续关注与解决。</w:t>
            </w:r>
          </w:p>
        </w:tc>
      </w:tr>
      <w:tr w14:paraId="3F2E4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1134" w:type="dxa"/>
            <w:vMerge w:val="restart"/>
            <w:vAlign w:val="center"/>
          </w:tcPr>
          <w:p w14:paraId="108B8BCB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78E13317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50B4FD2F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33F8D7E3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66C96B64">
            <w:pPr>
              <w:jc w:val="center"/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414813C8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347" w:type="dxa"/>
            <w:vAlign w:val="center"/>
          </w:tcPr>
          <w:p w14:paraId="3464F45F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7015" w:type="dxa"/>
            <w:gridSpan w:val="8"/>
            <w:vAlign w:val="center"/>
          </w:tcPr>
          <w:p w14:paraId="50783AC7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https://news.qq.com/rain/a/20241215V0507700</w:t>
            </w:r>
          </w:p>
        </w:tc>
      </w:tr>
      <w:tr w14:paraId="0C19A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</w:trPr>
        <w:tc>
          <w:tcPr>
            <w:tcW w:w="1134" w:type="dxa"/>
            <w:vMerge w:val="continue"/>
            <w:vAlign w:val="center"/>
          </w:tcPr>
          <w:p w14:paraId="657F9965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 w14:paraId="507EF938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6683BE40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7015" w:type="dxa"/>
            <w:gridSpan w:val="8"/>
            <w:vAlign w:val="center"/>
          </w:tcPr>
          <w:p w14:paraId="4FBD66F0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h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ttps://www.bilibili.com/video/BV1ksqZYaENj/?vd_source=ff805630fa1080e4b9ef8cd848e62eb6</w:t>
            </w:r>
          </w:p>
        </w:tc>
      </w:tr>
      <w:tr w14:paraId="15141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exact"/>
        </w:trPr>
        <w:tc>
          <w:tcPr>
            <w:tcW w:w="1134" w:type="dxa"/>
            <w:vMerge w:val="continue"/>
            <w:vAlign w:val="center"/>
          </w:tcPr>
          <w:p w14:paraId="498DF654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 w14:paraId="3A2AE6A7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011624D8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7015" w:type="dxa"/>
            <w:gridSpan w:val="8"/>
            <w:vAlign w:val="center"/>
          </w:tcPr>
          <w:p w14:paraId="0E5484D8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https://v.douyin.com/BiEdCj8hwpU</w:t>
            </w:r>
          </w:p>
        </w:tc>
      </w:tr>
      <w:tr w14:paraId="3946C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</w:trPr>
        <w:tc>
          <w:tcPr>
            <w:tcW w:w="1134" w:type="dxa"/>
            <w:vMerge w:val="continue"/>
            <w:vAlign w:val="center"/>
          </w:tcPr>
          <w:p w14:paraId="1DDEEE12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433BCA66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1844" w:type="dxa"/>
            <w:gridSpan w:val="2"/>
            <w:vAlign w:val="center"/>
          </w:tcPr>
          <w:p w14:paraId="1DF4B6BF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600万</w:t>
            </w:r>
          </w:p>
        </w:tc>
        <w:tc>
          <w:tcPr>
            <w:tcW w:w="992" w:type="dxa"/>
            <w:gridSpan w:val="2"/>
            <w:vAlign w:val="center"/>
          </w:tcPr>
          <w:p w14:paraId="3921CEC9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985" w:type="dxa"/>
            <w:gridSpan w:val="3"/>
            <w:vAlign w:val="center"/>
          </w:tcPr>
          <w:p w14:paraId="091A2C37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2000</w:t>
            </w:r>
          </w:p>
        </w:tc>
        <w:tc>
          <w:tcPr>
            <w:tcW w:w="992" w:type="dxa"/>
            <w:vAlign w:val="center"/>
          </w:tcPr>
          <w:p w14:paraId="5FFBED8F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549" w:type="dxa"/>
            <w:vAlign w:val="center"/>
          </w:tcPr>
          <w:p w14:paraId="6E52340D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1.2万</w:t>
            </w:r>
          </w:p>
        </w:tc>
      </w:tr>
      <w:tr w14:paraId="01EBB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6" w:hRule="exact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343B5A78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3A1AA119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 w14:paraId="22C3FFC5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 w14:paraId="1213B754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 w14:paraId="11A23912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 w14:paraId="7753D9E9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79" w:type="dxa"/>
            <w:gridSpan w:val="11"/>
            <w:tcBorders>
              <w:bottom w:val="single" w:color="auto" w:sz="4" w:space="0"/>
            </w:tcBorders>
            <w:vAlign w:val="center"/>
          </w:tcPr>
          <w:p w14:paraId="05EE2A07">
            <w:pPr>
              <w:spacing w:line="240" w:lineRule="auto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该作品紧扣“三农”热点，评论客观理性，兼具建设性与人文关怀。该作品以小见大，以新闻之力推动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问题解决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，助力“三农”发展。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新闻性强，传播效果好，社会效果显著，值得推荐。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 xml:space="preserve">    </w:t>
            </w:r>
          </w:p>
          <w:p w14:paraId="72A007AD">
            <w:pPr>
              <w:spacing w:line="240" w:lineRule="auto"/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</w:t>
            </w:r>
          </w:p>
          <w:p w14:paraId="45E61E2A">
            <w:pPr>
              <w:spacing w:line="360" w:lineRule="exact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     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 w14:paraId="6E3CD6BF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_GB2312"/>
                <w:color w:val="000000"/>
                <w:sz w:val="28"/>
              </w:rPr>
              <w:t xml:space="preserve">                                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2025年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</w:tbl>
    <w:p w14:paraId="260404B9">
      <w:pPr>
        <w:rPr>
          <w:rFonts w:hint="eastAsia" w:ascii="楷体" w:hAnsi="楷体" w:eastAsia="楷体"/>
          <w:color w:val="000000"/>
          <w:sz w:val="28"/>
          <w:szCs w:val="28"/>
        </w:rPr>
      </w:pPr>
    </w:p>
    <w:sectPr>
      <w:headerReference r:id="rId3" w:type="default"/>
      <w:footerReference r:id="rId5" w:type="default"/>
      <w:headerReference r:id="rId4" w:type="even"/>
      <w:pgSz w:w="11906" w:h="16838"/>
      <w:pgMar w:top="1837" w:right="1729" w:bottom="1213" w:left="1729" w:header="851" w:footer="1134" w:gutter="0"/>
      <w:pgNumType w:fmt="numberInDash"/>
      <w:cols w:space="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2ED2887-C394-45FB-930F-F5DEE674DA8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2" w:fontKey="{34888212-BCE2-4921-8547-0C820B3D6E6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65969235-C71F-4871-8CEE-A8E0E8FC410B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FF5F924E-2F91-41E8-9BBB-1C05FD949EDA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CA2D222C-1CFC-49C3-830B-AF96A2354D11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9044B14E-B900-4D60-8572-043B3F03AC8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0ADFC2">
    <w:pPr>
      <w:pStyle w:val="7"/>
      <w:jc w:val="right"/>
      <w:rPr>
        <w:rFonts w:hint="eastAsia" w:ascii="仿宋" w:hAnsi="仿宋" w:eastAsia="仿宋"/>
        <w:sz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49D243">
    <w:pPr>
      <w:pStyle w:val="8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71B61B">
    <w:pPr>
      <w:pStyle w:val="4"/>
      <w:spacing w:after="0" w:line="320" w:lineRule="exact"/>
      <w:rPr>
        <w:rFonts w:hint="eastAsia"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evenAndOddHeaders w:val="1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lYTgwYjMyMjk0MTQ4YmI3ZGYyYTU0ODczYTJjY2QifQ=="/>
  </w:docVars>
  <w:rsids>
    <w:rsidRoot w:val="004A31D0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23A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3FC3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090D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761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A252749"/>
    <w:rsid w:val="0AA1970C"/>
    <w:rsid w:val="0AAE1CDA"/>
    <w:rsid w:val="0F7F0EA5"/>
    <w:rsid w:val="11EE2529"/>
    <w:rsid w:val="189B2EBB"/>
    <w:rsid w:val="1A7CA4C8"/>
    <w:rsid w:val="1D7D5129"/>
    <w:rsid w:val="1EE367D7"/>
    <w:rsid w:val="1FBE4D8F"/>
    <w:rsid w:val="20187034"/>
    <w:rsid w:val="23A37394"/>
    <w:rsid w:val="240344BC"/>
    <w:rsid w:val="27BBD431"/>
    <w:rsid w:val="29FB622F"/>
    <w:rsid w:val="2B5FF6DB"/>
    <w:rsid w:val="2BE6AC9B"/>
    <w:rsid w:val="2E122953"/>
    <w:rsid w:val="30DB6517"/>
    <w:rsid w:val="32E7C95C"/>
    <w:rsid w:val="37E613F9"/>
    <w:rsid w:val="37FD3078"/>
    <w:rsid w:val="37FF3550"/>
    <w:rsid w:val="37FFC416"/>
    <w:rsid w:val="3991049D"/>
    <w:rsid w:val="3AFCCEEC"/>
    <w:rsid w:val="3B6BE7B6"/>
    <w:rsid w:val="3BEA624A"/>
    <w:rsid w:val="3BFF18CE"/>
    <w:rsid w:val="3DEE90AB"/>
    <w:rsid w:val="3F9F0BD7"/>
    <w:rsid w:val="3FDD0733"/>
    <w:rsid w:val="3FFF6105"/>
    <w:rsid w:val="467F7B33"/>
    <w:rsid w:val="498B583A"/>
    <w:rsid w:val="4B94077D"/>
    <w:rsid w:val="4E1161B7"/>
    <w:rsid w:val="4F7A1CAF"/>
    <w:rsid w:val="4FD20CC7"/>
    <w:rsid w:val="51FC00CA"/>
    <w:rsid w:val="575FFACA"/>
    <w:rsid w:val="57E3A12B"/>
    <w:rsid w:val="5D5E7442"/>
    <w:rsid w:val="5DFC282D"/>
    <w:rsid w:val="5EF2E06A"/>
    <w:rsid w:val="5F7BA06F"/>
    <w:rsid w:val="5FFB8B9E"/>
    <w:rsid w:val="5FFEE2BA"/>
    <w:rsid w:val="67EA5618"/>
    <w:rsid w:val="6BADA4A9"/>
    <w:rsid w:val="6BFE9F4B"/>
    <w:rsid w:val="6BFF44CD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2BA3948"/>
    <w:rsid w:val="73CBDC3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A033627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2"/>
    <w:semiHidden/>
    <w:unhideWhenUsed/>
    <w:qFormat/>
    <w:uiPriority w:val="99"/>
    <w:pPr>
      <w:jc w:val="left"/>
    </w:pPr>
  </w:style>
  <w:style w:type="paragraph" w:styleId="4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5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3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basedOn w:val="1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6">
    <w:name w:val="页眉 字符"/>
    <w:basedOn w:val="12"/>
    <w:link w:val="8"/>
    <w:qFormat/>
    <w:uiPriority w:val="99"/>
    <w:rPr>
      <w:sz w:val="18"/>
      <w:szCs w:val="18"/>
    </w:rPr>
  </w:style>
  <w:style w:type="character" w:customStyle="1" w:styleId="17">
    <w:name w:val="页脚 字符"/>
    <w:basedOn w:val="12"/>
    <w:link w:val="7"/>
    <w:qFormat/>
    <w:uiPriority w:val="99"/>
    <w:rPr>
      <w:sz w:val="18"/>
      <w:szCs w:val="18"/>
    </w:rPr>
  </w:style>
  <w:style w:type="character" w:customStyle="1" w:styleId="18">
    <w:name w:val="日期 字符"/>
    <w:basedOn w:val="12"/>
    <w:link w:val="5"/>
    <w:semiHidden/>
    <w:qFormat/>
    <w:uiPriority w:val="99"/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框文本 字符"/>
    <w:basedOn w:val="12"/>
    <w:link w:val="6"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1">
    <w:name w:val="Char Char9 Char Char"/>
    <w:basedOn w:val="1"/>
    <w:autoRedefine/>
    <w:qFormat/>
    <w:uiPriority w:val="0"/>
    <w:rPr>
      <w:rFonts w:ascii="仿宋_GB2312" w:hAnsi="Times New Roman" w:cs="Times New Roman"/>
      <w:b/>
      <w:szCs w:val="32"/>
    </w:rPr>
  </w:style>
  <w:style w:type="character" w:customStyle="1" w:styleId="22">
    <w:name w:val="批注文字 字符"/>
    <w:basedOn w:val="12"/>
    <w:link w:val="3"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3">
    <w:name w:val="批注主题 字符"/>
    <w:basedOn w:val="22"/>
    <w:link w:val="9"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4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5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6">
    <w:name w:val="修订2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27">
    <w:name w:val="修订3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8">
    <w:name w:val="未处理的提及2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F1A8D-1935-456D-AD76-13767C2CA7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936</Words>
  <Characters>1158</Characters>
  <Lines>9</Lines>
  <Paragraphs>2</Paragraphs>
  <TotalTime>2</TotalTime>
  <ScaleCrop>false</ScaleCrop>
  <LinksUpToDate>false</LinksUpToDate>
  <CharactersWithSpaces>1283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2025-03-13T08:15:00Z</dcterms:created>
  <dc:creator>wangyongpo</dc:creator>
  <cp:lastModifiedBy>火焱</cp:lastModifiedBy>
  <cp:lastPrinted>2025-05-07T09:42:00Z</cp:lastPrinted>
  <dcterms:modified xsi:type="dcterms:W3CDTF">2025-05-12T08:42:47Z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eyJoZGlkIjoiNDQ3NjYxODRmODIxMDMyNGY4ODdlYjQ0MjlmZTQ3YTEiLCJ1c2VySWQiOiI1NDk5OTUyNzYifQ==</vt:lpwstr>
  </property>
  <property fmtid="{D5CDD505-2E9C-101B-9397-08002B2CF9AE}" pid="4" name="ICV">
    <vt:lpwstr>9EC83C1B6F7543C5BF92DFB3FFE8689F_13</vt:lpwstr>
  </property>
</Properties>
</file>